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BF267" w14:textId="31C4DD05" w:rsidR="00B422EC" w:rsidRPr="00EA1752" w:rsidRDefault="000B3079" w:rsidP="00A66DB1">
      <w:pPr>
        <w:spacing w:before="120"/>
        <w:jc w:val="right"/>
        <w:rPr>
          <w:i/>
          <w:sz w:val="24"/>
        </w:rPr>
      </w:pPr>
      <w:r>
        <w:rPr>
          <w:sz w:val="24"/>
        </w:rPr>
        <w:t xml:space="preserve"> </w:t>
      </w:r>
      <w:r w:rsidR="00617F1C">
        <w:rPr>
          <w:sz w:val="24"/>
        </w:rPr>
        <w:t>25. jun</w:t>
      </w:r>
      <w:r>
        <w:rPr>
          <w:sz w:val="24"/>
        </w:rPr>
        <w:t xml:space="preserve"> 2019.</w:t>
      </w:r>
    </w:p>
    <w:p w14:paraId="386F2B64" w14:textId="77777777" w:rsidR="005E69D9" w:rsidRDefault="005E69D9" w:rsidP="00B422EC">
      <w:pPr>
        <w:pStyle w:val="Standard12pt"/>
        <w:rPr>
          <w:lang w:val="en-US"/>
        </w:rPr>
      </w:pPr>
    </w:p>
    <w:p w14:paraId="1BE06A3B" w14:textId="35E6D483" w:rsidR="00B422EC" w:rsidRDefault="003B571E" w:rsidP="005E76CA">
      <w:pPr>
        <w:pStyle w:val="Standard12pt"/>
        <w:spacing w:line="271" w:lineRule="auto"/>
      </w:pPr>
      <w:r>
        <w:t>Održivo pakovanje</w:t>
      </w:r>
    </w:p>
    <w:p w14:paraId="7373747D" w14:textId="2F48C384" w:rsidR="00CA6D64" w:rsidRDefault="00CA6D64" w:rsidP="005E76CA">
      <w:pPr>
        <w:pStyle w:val="Standard12pt"/>
        <w:spacing w:line="271" w:lineRule="auto"/>
      </w:pPr>
    </w:p>
    <w:p w14:paraId="15816C35" w14:textId="77777777" w:rsidR="00CA6D64" w:rsidRDefault="00CA6D64" w:rsidP="005E76CA">
      <w:pPr>
        <w:pStyle w:val="Standard12pt"/>
        <w:spacing w:line="271" w:lineRule="auto"/>
      </w:pPr>
    </w:p>
    <w:p w14:paraId="0B58172E" w14:textId="77777777" w:rsidR="00D9206F" w:rsidRPr="009C4D35" w:rsidRDefault="00D9206F" w:rsidP="005E76CA">
      <w:pPr>
        <w:pStyle w:val="Standard12pt"/>
        <w:spacing w:line="271" w:lineRule="auto"/>
        <w:rPr>
          <w:lang w:val="en-US"/>
        </w:rPr>
      </w:pPr>
    </w:p>
    <w:p w14:paraId="4D7DE699" w14:textId="2120EB26" w:rsidR="0031379F" w:rsidRDefault="00D9206F" w:rsidP="00D66EE0">
      <w:pPr>
        <w:pStyle w:val="Heading1"/>
        <w:spacing w:line="271" w:lineRule="auto"/>
        <w:jc w:val="both"/>
        <w:rPr>
          <w:sz w:val="32"/>
        </w:rPr>
      </w:pPr>
      <w:r w:rsidRPr="0007511C">
        <w:rPr>
          <w:sz w:val="32"/>
        </w:rPr>
        <w:t>Transportna ambalaža za brend tableta za pranje sudova Somat sadrži 50 odsto reciklira</w:t>
      </w:r>
      <w:bookmarkStart w:id="0" w:name="_GoBack"/>
      <w:bookmarkEnd w:id="0"/>
      <w:r w:rsidRPr="0007511C">
        <w:rPr>
          <w:sz w:val="32"/>
        </w:rPr>
        <w:t>ne plastike</w:t>
      </w:r>
    </w:p>
    <w:p w14:paraId="06E9C5A2" w14:textId="514F8D80" w:rsidR="00CA6D64" w:rsidRDefault="00CA6D64" w:rsidP="00CA6D64"/>
    <w:p w14:paraId="73F4436F" w14:textId="77777777" w:rsidR="00CA6D64" w:rsidRPr="00CA6D64" w:rsidRDefault="00CA6D64" w:rsidP="00CA6D64"/>
    <w:p w14:paraId="72045FD5" w14:textId="77777777" w:rsidR="00852511" w:rsidRPr="0007511C" w:rsidRDefault="00852511" w:rsidP="003B571E">
      <w:pPr>
        <w:spacing w:line="271" w:lineRule="auto"/>
        <w:rPr>
          <w:rFonts w:cs="Arial"/>
          <w:b/>
          <w:sz w:val="24"/>
          <w:lang w:val="en-US"/>
        </w:rPr>
      </w:pPr>
    </w:p>
    <w:p w14:paraId="2CDD6FEE" w14:textId="68D4EF10" w:rsidR="00032725" w:rsidRPr="0007511C" w:rsidRDefault="00C414E6" w:rsidP="0007511C">
      <w:pPr>
        <w:spacing w:line="360" w:lineRule="auto"/>
        <w:jc w:val="both"/>
        <w:rPr>
          <w:rFonts w:cs="Arial"/>
          <w:sz w:val="24"/>
        </w:rPr>
      </w:pPr>
      <w:r w:rsidRPr="0007511C">
        <w:rPr>
          <w:rFonts w:cs="Arial"/>
          <w:sz w:val="24"/>
        </w:rPr>
        <w:t xml:space="preserve">Dizeldorf - Dalji napredak u oblasti održivog pakovanja ne odnosi se samo na primarna pakovanja proizvoda, već i na transportnu ambalažu. U saradnji sa partnerom, kompanijom Papier-Mettler, jednim od vodećih proizvođača fleksibilnih ambalaža na evropskom tržištu, Henkel je počeo da koristi </w:t>
      </w:r>
      <w:r w:rsidR="003E51A7" w:rsidRPr="0007511C">
        <w:rPr>
          <w:rFonts w:cs="Arial"/>
          <w:sz w:val="24"/>
        </w:rPr>
        <w:t>„</w:t>
      </w:r>
      <w:r w:rsidRPr="0007511C">
        <w:rPr>
          <w:rFonts w:cs="Arial"/>
          <w:sz w:val="24"/>
        </w:rPr>
        <w:t>I’m eco</w:t>
      </w:r>
      <w:r w:rsidRPr="0007511C">
        <w:rPr>
          <w:rFonts w:cs="Arial"/>
          <w:sz w:val="24"/>
          <w:vertAlign w:val="superscript"/>
        </w:rPr>
        <w:t>®</w:t>
      </w:r>
      <w:r w:rsidR="003E51A7" w:rsidRPr="0007511C">
        <w:rPr>
          <w:rFonts w:cs="Arial"/>
          <w:sz w:val="24"/>
          <w:vertAlign w:val="superscript"/>
        </w:rPr>
        <w:t>“</w:t>
      </w:r>
      <w:r w:rsidRPr="0007511C">
        <w:rPr>
          <w:rFonts w:cs="Arial"/>
          <w:sz w:val="24"/>
        </w:rPr>
        <w:t xml:space="preserve"> streč foliju za svoj brend za mašinsko pranje sudova Somat. Folija sa više od </w:t>
      </w:r>
      <w:r w:rsidR="00E113D5">
        <w:rPr>
          <w:rFonts w:cs="Arial"/>
          <w:sz w:val="24"/>
        </w:rPr>
        <w:t>50% recikliranog materijala je</w:t>
      </w:r>
      <w:r w:rsidRPr="0007511C">
        <w:rPr>
          <w:rFonts w:cs="Arial"/>
          <w:sz w:val="24"/>
        </w:rPr>
        <w:t xml:space="preserve"> uvedena </w:t>
      </w:r>
      <w:r w:rsidR="003E51A7" w:rsidRPr="0007511C">
        <w:rPr>
          <w:rFonts w:cs="Arial"/>
          <w:sz w:val="24"/>
        </w:rPr>
        <w:t>na</w:t>
      </w:r>
      <w:r w:rsidRPr="0007511C">
        <w:rPr>
          <w:rFonts w:cs="Arial"/>
          <w:sz w:val="24"/>
        </w:rPr>
        <w:t xml:space="preserve"> razna evropska tržišta u kojima se streč folija koristi kao transportna ambalaža - među njima je i </w:t>
      </w:r>
      <w:r w:rsidR="0007511C" w:rsidRPr="0007511C">
        <w:rPr>
          <w:rFonts w:cs="Arial"/>
          <w:sz w:val="24"/>
        </w:rPr>
        <w:t xml:space="preserve">Srbija. </w:t>
      </w:r>
      <w:r w:rsidRPr="0007511C">
        <w:rPr>
          <w:rFonts w:cs="Arial"/>
          <w:sz w:val="24"/>
        </w:rPr>
        <w:t xml:space="preserve"> </w:t>
      </w:r>
    </w:p>
    <w:p w14:paraId="461BD98C" w14:textId="77777777" w:rsidR="00032725" w:rsidRPr="0007511C" w:rsidRDefault="00032725" w:rsidP="0007511C">
      <w:pPr>
        <w:spacing w:line="360" w:lineRule="auto"/>
        <w:jc w:val="both"/>
        <w:rPr>
          <w:sz w:val="24"/>
        </w:rPr>
      </w:pPr>
    </w:p>
    <w:p w14:paraId="3575B2C4" w14:textId="6008F083" w:rsidR="001F7D06" w:rsidRPr="007D0EEF" w:rsidRDefault="00032725" w:rsidP="0007511C">
      <w:pPr>
        <w:spacing w:line="360" w:lineRule="auto"/>
        <w:jc w:val="both"/>
        <w:rPr>
          <w:sz w:val="24"/>
        </w:rPr>
      </w:pPr>
      <w:r w:rsidRPr="0007511C">
        <w:rPr>
          <w:sz w:val="24"/>
        </w:rPr>
        <w:t xml:space="preserve">Transportna ambalaža mora da ispuni različite standarde: Mora biti izdržljiva i visokog kvaliteta, jer se njome obmotavaju i čuvaju Henkelovi proizvodi na putu od proizvodnih pogona do polica prodavnica. </w:t>
      </w:r>
      <w:r w:rsidR="00337CF4" w:rsidRPr="0007511C">
        <w:rPr>
          <w:sz w:val="24"/>
        </w:rPr>
        <w:t>„</w:t>
      </w:r>
      <w:r w:rsidRPr="0007511C">
        <w:rPr>
          <w:sz w:val="24"/>
        </w:rPr>
        <w:t>Nova streč folija za Somat je još jedan korak u našoj posvećenosti održivom pakovanju i cirkularnoj ekonomiji. Sadrži više od 50 odsto polietilena i u isto</w:t>
      </w:r>
      <w:r>
        <w:rPr>
          <w:sz w:val="24"/>
        </w:rPr>
        <w:t xml:space="preserve"> vreme obezbeđuje zatvoren krug za ovu vrstu pakovanja,</w:t>
      </w:r>
      <w:r w:rsidR="00337CF4">
        <w:rPr>
          <w:sz w:val="24"/>
        </w:rPr>
        <w:t>“</w:t>
      </w:r>
      <w:r>
        <w:rPr>
          <w:sz w:val="24"/>
        </w:rPr>
        <w:t xml:space="preserve"> objašnjava Karsten Bertram, direktor međunarodnog razvoja pakovanja za proizvode za mašinsko pranje sudova u Henkelovoj poslovnoj jedinici Deterdženti i kućna hemija.  </w:t>
      </w:r>
    </w:p>
    <w:p w14:paraId="7F57DA0C" w14:textId="77777777" w:rsidR="007546DD" w:rsidRPr="00F0171A" w:rsidRDefault="007546DD" w:rsidP="007D0EEF">
      <w:pPr>
        <w:spacing w:line="276" w:lineRule="auto"/>
        <w:jc w:val="both"/>
        <w:rPr>
          <w:sz w:val="24"/>
        </w:rPr>
      </w:pPr>
    </w:p>
    <w:p w14:paraId="6854FE2F" w14:textId="77777777" w:rsidR="007546DD" w:rsidRPr="007D0EEF" w:rsidRDefault="007546DD" w:rsidP="007D0EEF">
      <w:pPr>
        <w:spacing w:after="120" w:line="276" w:lineRule="auto"/>
        <w:jc w:val="both"/>
        <w:rPr>
          <w:b/>
          <w:sz w:val="24"/>
        </w:rPr>
      </w:pPr>
      <w:r>
        <w:rPr>
          <w:b/>
          <w:sz w:val="24"/>
        </w:rPr>
        <w:t>Zatvoren krug za transportnu ambalažu</w:t>
      </w:r>
    </w:p>
    <w:p w14:paraId="1FA84CC8" w14:textId="77777777" w:rsidR="005D3D51" w:rsidRPr="007D0EEF" w:rsidRDefault="00D33548" w:rsidP="0007511C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Papier-Mettler’s </w:t>
      </w:r>
      <w:r w:rsidR="00ED027C">
        <w:rPr>
          <w:sz w:val="24"/>
        </w:rPr>
        <w:t>„</w:t>
      </w:r>
      <w:r>
        <w:rPr>
          <w:sz w:val="24"/>
        </w:rPr>
        <w:t>I’m eco</w:t>
      </w:r>
      <w:r>
        <w:rPr>
          <w:sz w:val="24"/>
          <w:vertAlign w:val="superscript"/>
        </w:rPr>
        <w:t>®</w:t>
      </w:r>
      <w:r w:rsidR="00ED027C">
        <w:rPr>
          <w:sz w:val="24"/>
          <w:vertAlign w:val="superscript"/>
        </w:rPr>
        <w:t>“</w:t>
      </w:r>
      <w:r>
        <w:rPr>
          <w:sz w:val="24"/>
        </w:rPr>
        <w:t xml:space="preserve"> streč folija se proizvodi u zatvorenom krugu materijala - kada je uklone u prodavnicama, ambalažni otpad se sakuplja i integriše nazad u lanac vrednosti. Kada se konvertuje u plastični granulat, koristiće se za proizvodnju nove </w:t>
      </w:r>
      <w:r>
        <w:rPr>
          <w:sz w:val="24"/>
        </w:rPr>
        <w:lastRenderedPageBreak/>
        <w:t>streč folije. Ova folija ne samo da je održiv</w:t>
      </w:r>
      <w:r w:rsidR="00F0171A">
        <w:rPr>
          <w:sz w:val="24"/>
        </w:rPr>
        <w:t>ija</w:t>
      </w:r>
      <w:r>
        <w:rPr>
          <w:sz w:val="24"/>
        </w:rPr>
        <w:t>, već i pruža visok kvalitet i ne utiče na mašinsku obradu. Omogućava smanjenje plastičnog otpada, 100% se može reciklirati, i umanjuje odgovarajuće emisije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za više od 25%.</w:t>
      </w:r>
    </w:p>
    <w:p w14:paraId="16966A3A" w14:textId="77777777" w:rsidR="003D55D7" w:rsidRPr="00F0171A" w:rsidRDefault="003D55D7" w:rsidP="007D0EEF">
      <w:pPr>
        <w:spacing w:line="276" w:lineRule="auto"/>
        <w:jc w:val="both"/>
        <w:rPr>
          <w:sz w:val="24"/>
          <w:highlight w:val="yellow"/>
        </w:rPr>
      </w:pPr>
    </w:p>
    <w:p w14:paraId="2375F72F" w14:textId="77777777" w:rsidR="00D33548" w:rsidRPr="007D0EEF" w:rsidRDefault="00D33548" w:rsidP="0007511C">
      <w:pPr>
        <w:spacing w:line="360" w:lineRule="auto"/>
        <w:jc w:val="both"/>
        <w:rPr>
          <w:sz w:val="24"/>
        </w:rPr>
      </w:pPr>
      <w:r>
        <w:rPr>
          <w:sz w:val="24"/>
        </w:rPr>
        <w:t>Uvođenje streč folije sa više od 50% reciklirane plastike za tablete za pranje sudova je samo početak: Henkelovi timovi zaduženi za ambalažu trenutno razmatraju upotrebu ovih transportnih ambalaža za ostale proizvode u kategorijama Deterdženata i kućne hemije i Beauty Care.</w:t>
      </w:r>
    </w:p>
    <w:p w14:paraId="7F987DD1" w14:textId="77777777" w:rsidR="000A13CE" w:rsidRPr="00F0171A" w:rsidRDefault="000A13CE" w:rsidP="007D0EEF">
      <w:pPr>
        <w:spacing w:after="120" w:line="276" w:lineRule="auto"/>
        <w:jc w:val="both"/>
        <w:rPr>
          <w:b/>
          <w:sz w:val="24"/>
        </w:rPr>
      </w:pPr>
    </w:p>
    <w:p w14:paraId="181FC087" w14:textId="77777777" w:rsidR="00BA43FA" w:rsidRPr="00BA43FA" w:rsidRDefault="00D9206F" w:rsidP="007D0EEF">
      <w:pPr>
        <w:spacing w:after="120" w:line="276" w:lineRule="auto"/>
        <w:jc w:val="both"/>
        <w:rPr>
          <w:b/>
          <w:sz w:val="24"/>
        </w:rPr>
      </w:pPr>
      <w:r>
        <w:rPr>
          <w:b/>
          <w:sz w:val="24"/>
        </w:rPr>
        <w:t>Doprinos Henkelovoj strategiji za ambalažu i ciljevima</w:t>
      </w:r>
    </w:p>
    <w:p w14:paraId="1529A96D" w14:textId="06531A71" w:rsidR="00C414E6" w:rsidRPr="003D0215" w:rsidRDefault="00D33548" w:rsidP="0007511C">
      <w:pPr>
        <w:spacing w:line="360" w:lineRule="auto"/>
        <w:jc w:val="both"/>
        <w:rPr>
          <w:sz w:val="24"/>
        </w:rPr>
      </w:pPr>
      <w:r w:rsidRPr="003D0215">
        <w:rPr>
          <w:sz w:val="24"/>
        </w:rPr>
        <w:t xml:space="preserve">Kako bi promovisao održivost u oblasti ambalaže i pokrenuo napredak ka cirkularnoj ekonomiji plastike, Henkel je postavio ambiciozne ciljeve koji su definisani u kompanijinoj </w:t>
      </w:r>
      <w:hyperlink r:id="rId8" w:history="1">
        <w:r w:rsidRPr="003D0215">
          <w:rPr>
            <w:rStyle w:val="Hyperlink"/>
            <w:sz w:val="24"/>
          </w:rPr>
          <w:t>strategiji za ambalažu</w:t>
        </w:r>
      </w:hyperlink>
      <w:r w:rsidRPr="003D0215">
        <w:rPr>
          <w:sz w:val="24"/>
        </w:rPr>
        <w:t>: Do 2025. godine 100% ambalaž</w:t>
      </w:r>
      <w:r w:rsidR="0007511C">
        <w:rPr>
          <w:sz w:val="24"/>
        </w:rPr>
        <w:t xml:space="preserve">e će </w:t>
      </w:r>
      <w:r w:rsidRPr="003D0215">
        <w:rPr>
          <w:sz w:val="24"/>
        </w:rPr>
        <w:t xml:space="preserve">moći </w:t>
      </w:r>
      <w:r w:rsidR="0007511C">
        <w:rPr>
          <w:sz w:val="24"/>
        </w:rPr>
        <w:t>d</w:t>
      </w:r>
      <w:r w:rsidRPr="003D0215">
        <w:rPr>
          <w:sz w:val="24"/>
        </w:rPr>
        <w:t xml:space="preserve">a se reciklira, ponovo upotrebi ili pretvori u kompost*. U istom periodu, Henkel namerava da 35% plastike bude reciklirano kada je u pitanju roba široke potrošnje u Evropi. Pored sopstvenih inovacija, kompanija je deo više partnerstava i inicijativa: Na primer, Henkel je jedan od osnivača globalnog </w:t>
      </w:r>
      <w:hyperlink r:id="rId9" w:history="1">
        <w:r w:rsidRPr="003D0215">
          <w:rPr>
            <w:rStyle w:val="Hyperlink"/>
            <w:sz w:val="24"/>
          </w:rPr>
          <w:t>Saveza za uklanjanje plastičnog otpada</w:t>
        </w:r>
      </w:hyperlink>
      <w:r w:rsidRPr="003D0215">
        <w:rPr>
          <w:sz w:val="24"/>
        </w:rPr>
        <w:t xml:space="preserve">, deo je inicijative </w:t>
      </w:r>
      <w:hyperlink r:id="rId10" w:history="1">
        <w:r w:rsidRPr="003D0215">
          <w:rPr>
            <w:rStyle w:val="Hyperlink"/>
            <w:sz w:val="24"/>
          </w:rPr>
          <w:t>Nova plastična ekonomija</w:t>
        </w:r>
      </w:hyperlink>
      <w:r w:rsidRPr="003D0215">
        <w:rPr>
          <w:sz w:val="24"/>
        </w:rPr>
        <w:t xml:space="preserve"> i sarađuje sa socijalnim preduzećem </w:t>
      </w:r>
      <w:hyperlink r:id="rId11" w:history="1">
        <w:r w:rsidRPr="003D0215">
          <w:rPr>
            <w:rStyle w:val="Hyperlink"/>
            <w:sz w:val="24"/>
          </w:rPr>
          <w:t>Banka plastike</w:t>
        </w:r>
      </w:hyperlink>
      <w:r w:rsidRPr="003D0215">
        <w:rPr>
          <w:sz w:val="24"/>
        </w:rPr>
        <w:t xml:space="preserve">. </w:t>
      </w:r>
    </w:p>
    <w:p w14:paraId="7A557EC7" w14:textId="77777777" w:rsidR="00C414E6" w:rsidRPr="00F0171A" w:rsidRDefault="00C414E6" w:rsidP="0007511C">
      <w:pPr>
        <w:spacing w:line="360" w:lineRule="auto"/>
        <w:jc w:val="both"/>
        <w:rPr>
          <w:sz w:val="24"/>
        </w:rPr>
      </w:pPr>
    </w:p>
    <w:p w14:paraId="3CEDA3BC" w14:textId="77777777" w:rsidR="00C414E6" w:rsidRDefault="00C414E6" w:rsidP="0007511C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 xml:space="preserve">Više informacija o Henkelovom pristupu i ciljevima za održivo pakovanje mogu se pronaći na  </w:t>
      </w:r>
      <w:hyperlink r:id="rId12" w:history="1">
        <w:r>
          <w:rPr>
            <w:rStyle w:val="Hyperlink"/>
            <w:rFonts w:ascii="Arial" w:hAnsi="Arial"/>
            <w:sz w:val="24"/>
          </w:rPr>
          <w:t>www.henkel.com/sustainability/positions/packaging</w:t>
        </w:r>
      </w:hyperlink>
      <w:r>
        <w:rPr>
          <w:rFonts w:ascii="Arial" w:hAnsi="Arial"/>
          <w:sz w:val="24"/>
        </w:rPr>
        <w:t xml:space="preserve">. </w:t>
      </w:r>
    </w:p>
    <w:p w14:paraId="03AF3E7D" w14:textId="77777777" w:rsidR="006A0A3C" w:rsidRPr="00F0171A" w:rsidRDefault="006A0A3C" w:rsidP="00B422EC">
      <w:pPr>
        <w:spacing w:line="360" w:lineRule="auto"/>
        <w:jc w:val="both"/>
        <w:rPr>
          <w:sz w:val="24"/>
        </w:rPr>
      </w:pPr>
    </w:p>
    <w:p w14:paraId="74FCF70E" w14:textId="77777777" w:rsidR="00C414E6" w:rsidRPr="00C414E6" w:rsidRDefault="00C414E6" w:rsidP="00C414E6">
      <w:pPr>
        <w:pStyle w:val="NoSpacing"/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/>
          <w:sz w:val="16"/>
          <w:szCs w:val="16"/>
        </w:rPr>
        <w:t>*</w:t>
      </w:r>
      <w:r w:rsidR="003212D3">
        <w:rPr>
          <w:rFonts w:ascii="Arial" w:hAnsi="Arial"/>
          <w:sz w:val="16"/>
          <w:szCs w:val="16"/>
        </w:rPr>
        <w:t>isključujući adhezive kod kojih nataloženi materijal može da utiče na mogućnost recikliranja</w:t>
      </w:r>
      <w:bookmarkStart w:id="1" w:name="_Hlk523323308"/>
      <w:r>
        <w:rPr>
          <w:rFonts w:ascii="Arial" w:hAnsi="Arial"/>
          <w:sz w:val="16"/>
          <w:szCs w:val="16"/>
        </w:rPr>
        <w:t xml:space="preserve"> </w:t>
      </w:r>
      <w:bookmarkEnd w:id="1"/>
    </w:p>
    <w:p w14:paraId="279ED663" w14:textId="77777777" w:rsidR="00C414E6" w:rsidRPr="00F0171A" w:rsidRDefault="00C414E6" w:rsidP="00B422EC">
      <w:pPr>
        <w:spacing w:line="360" w:lineRule="auto"/>
        <w:jc w:val="both"/>
        <w:rPr>
          <w:sz w:val="24"/>
        </w:rPr>
      </w:pPr>
    </w:p>
    <w:p w14:paraId="13936903" w14:textId="77777777" w:rsidR="00D06825" w:rsidRPr="003623D4" w:rsidRDefault="00D06825" w:rsidP="00D06825">
      <w:pPr>
        <w:spacing w:line="276" w:lineRule="auto"/>
        <w:jc w:val="both"/>
        <w:rPr>
          <w:rFonts w:ascii="Calibri" w:hAnsi="Calibri"/>
          <w:szCs w:val="20"/>
        </w:rPr>
      </w:pPr>
      <w:r>
        <w:rPr>
          <w:b/>
          <w:bCs/>
        </w:rPr>
        <w:t>O Henkel-u</w:t>
      </w:r>
    </w:p>
    <w:p w14:paraId="193051CA" w14:textId="77777777" w:rsidR="005E76CA" w:rsidRDefault="005E76CA" w:rsidP="005E76CA">
      <w:pPr>
        <w:spacing w:line="276" w:lineRule="auto"/>
        <w:jc w:val="both"/>
      </w:pPr>
      <w:r>
        <w:t xml:space="preserve">Henkel posluje u svetu sa dobro izbalansiranim i diversifikovanim portfoliom. Kompanija je na vodećoj poziciji sa svoje tri poslovne jedinice u poslovanju sa industrijom i potrošačima zahvaljujući snažnim brendovima, inovacijama i tehnologijama. Poslovna jedinica Adhezivi Tehnologije kompanije Henkel je globalni lider na tržištu lepkova - u svim segmentima industrije širom sveta. U poslovnim jedinicama Deterdženti i kućna hemija i Kozmetika, Henkel drži vodeću poziciju na mnogim tržištima i u mnogim kategorijama širom sveta. Henkel je osnovan 1876. godine, a sada iza sebe ima više od 140 godina uspeha. U 2018. godini Henkel je objavio da je prodaja dostigla 20 milijardi evra i da je ostvarena korigovana operativna dobit od oko 3,5 milijarde evra. Henkel zapošljava više od 53.000 ljudi širom sveta - u strastvenom i veoma raznovrsnom timu, koga ujedinjuje snažna kultura kompanije, zajednički cilj stvaranje održive vrednosti i zajedničke vrednosti. Kao prepoznat lider u održivosti, Henkel drži </w:t>
      </w:r>
      <w:r>
        <w:lastRenderedPageBreak/>
        <w:t xml:space="preserve">vodeću poziciju prema mnogim međunarodnim indeksima i listama. Henkelove prioritetne akcije su izlistane u nemačkom indeksu DAX. Za više informacija, molimo posetite </w:t>
      </w:r>
      <w:hyperlink r:id="rId13" w:history="1">
        <w:r>
          <w:rPr>
            <w:rStyle w:val="Hyperlink"/>
          </w:rPr>
          <w:t>www.henkel.com</w:t>
        </w:r>
      </w:hyperlink>
      <w:r>
        <w:t>.</w:t>
      </w:r>
    </w:p>
    <w:p w14:paraId="6DBE609C" w14:textId="531D2466" w:rsidR="005E76CA" w:rsidRDefault="005E76CA" w:rsidP="005E76CA">
      <w:pPr>
        <w:spacing w:line="276" w:lineRule="auto"/>
        <w:jc w:val="both"/>
        <w:rPr>
          <w:rFonts w:cs="Arial"/>
          <w:szCs w:val="22"/>
        </w:rPr>
      </w:pPr>
    </w:p>
    <w:p w14:paraId="200A2FC7" w14:textId="41D7AD26" w:rsidR="00CA6D64" w:rsidRDefault="00CA6D64" w:rsidP="005E76CA">
      <w:pPr>
        <w:spacing w:line="276" w:lineRule="auto"/>
        <w:jc w:val="both"/>
        <w:rPr>
          <w:rFonts w:cs="Arial"/>
          <w:szCs w:val="22"/>
        </w:rPr>
      </w:pPr>
    </w:p>
    <w:p w14:paraId="32B072D0" w14:textId="77777777" w:rsidR="00CA6D64" w:rsidRPr="00FF4C43" w:rsidRDefault="00CA6D64" w:rsidP="00CA6D64">
      <w:pPr>
        <w:spacing w:line="240" w:lineRule="auto"/>
        <w:rPr>
          <w:rFonts w:cs="Arial"/>
          <w:b/>
          <w:szCs w:val="20"/>
          <w:lang w:val="de-DE" w:eastAsia="de-DE"/>
        </w:rPr>
      </w:pPr>
      <w:r w:rsidRPr="00FF4C43">
        <w:rPr>
          <w:rFonts w:cs="Arial"/>
          <w:b/>
          <w:szCs w:val="20"/>
          <w:lang w:val="de-DE" w:eastAsia="de-DE"/>
        </w:rPr>
        <w:t>Kontakt</w:t>
      </w:r>
    </w:p>
    <w:p w14:paraId="3631569A" w14:textId="77777777" w:rsidR="00CA6D64" w:rsidRPr="00FF4C43" w:rsidRDefault="00CA6D64" w:rsidP="00CA6D64">
      <w:pPr>
        <w:tabs>
          <w:tab w:val="left" w:pos="1080"/>
          <w:tab w:val="left" w:pos="4500"/>
        </w:tabs>
        <w:spacing w:line="312" w:lineRule="auto"/>
        <w:rPr>
          <w:rFonts w:cs="Arial"/>
          <w:noProof/>
          <w:szCs w:val="20"/>
        </w:rPr>
      </w:pPr>
    </w:p>
    <w:p w14:paraId="1DD41EE6" w14:textId="77777777" w:rsidR="00CA6D64" w:rsidRPr="00FF4C43" w:rsidRDefault="00CA6D64" w:rsidP="00CA6D64">
      <w:pPr>
        <w:tabs>
          <w:tab w:val="left" w:pos="1080"/>
          <w:tab w:val="left" w:pos="4500"/>
        </w:tabs>
        <w:spacing w:line="312" w:lineRule="auto"/>
        <w:rPr>
          <w:rFonts w:cs="Arial"/>
          <w:noProof/>
          <w:szCs w:val="20"/>
        </w:rPr>
      </w:pPr>
      <w:r w:rsidRPr="00FF4C43">
        <w:rPr>
          <w:rFonts w:cs="Arial"/>
          <w:noProof/>
          <w:szCs w:val="20"/>
        </w:rPr>
        <w:t>Kontakt</w:t>
      </w:r>
      <w:r w:rsidRPr="00FF4C43">
        <w:rPr>
          <w:rFonts w:cs="Arial"/>
          <w:noProof/>
          <w:szCs w:val="20"/>
        </w:rPr>
        <w:tab/>
        <w:t>Jelena Šarenac</w:t>
      </w:r>
      <w:r w:rsidRPr="00FF4C43">
        <w:rPr>
          <w:rFonts w:cs="Arial"/>
          <w:noProof/>
          <w:szCs w:val="20"/>
        </w:rPr>
        <w:tab/>
        <w:t xml:space="preserve">Jelena Stojanović </w:t>
      </w:r>
    </w:p>
    <w:p w14:paraId="6DB225EF" w14:textId="77777777" w:rsidR="00CA6D64" w:rsidRPr="00FF4C43" w:rsidRDefault="00CA6D64" w:rsidP="00CA6D64">
      <w:pPr>
        <w:tabs>
          <w:tab w:val="left" w:pos="1080"/>
          <w:tab w:val="left" w:pos="4500"/>
        </w:tabs>
        <w:spacing w:line="312" w:lineRule="auto"/>
        <w:rPr>
          <w:rFonts w:cs="Arial"/>
          <w:noProof/>
          <w:szCs w:val="20"/>
        </w:rPr>
      </w:pPr>
      <w:r w:rsidRPr="00FF4C43">
        <w:rPr>
          <w:rFonts w:cs="Arial"/>
          <w:noProof/>
          <w:szCs w:val="20"/>
        </w:rPr>
        <w:t>Telefon</w:t>
      </w:r>
      <w:r w:rsidRPr="00FF4C43">
        <w:rPr>
          <w:rFonts w:cs="Arial"/>
          <w:noProof/>
          <w:szCs w:val="20"/>
        </w:rPr>
        <w:tab/>
        <w:t>+381 11 207 22 09</w:t>
      </w:r>
      <w:r w:rsidRPr="00FF4C43">
        <w:rPr>
          <w:rFonts w:cs="Arial"/>
          <w:noProof/>
          <w:szCs w:val="20"/>
        </w:rPr>
        <w:tab/>
        <w:t>+381 11 207 21 86</w:t>
      </w:r>
    </w:p>
    <w:p w14:paraId="66662D7F" w14:textId="77777777" w:rsidR="00CA6D64" w:rsidRPr="00FF4C43" w:rsidRDefault="00CA6D64" w:rsidP="00CA6D64">
      <w:pPr>
        <w:tabs>
          <w:tab w:val="left" w:pos="1080"/>
          <w:tab w:val="left" w:pos="4500"/>
        </w:tabs>
        <w:spacing w:line="312" w:lineRule="auto"/>
        <w:rPr>
          <w:rFonts w:cs="Arial"/>
          <w:noProof/>
          <w:szCs w:val="20"/>
        </w:rPr>
      </w:pPr>
      <w:r w:rsidRPr="00FF4C43">
        <w:rPr>
          <w:rFonts w:cs="Arial"/>
          <w:noProof/>
          <w:szCs w:val="20"/>
        </w:rPr>
        <w:t>E-mail</w:t>
      </w:r>
      <w:r w:rsidRPr="00FF4C43">
        <w:rPr>
          <w:rFonts w:cs="Arial"/>
          <w:noProof/>
          <w:szCs w:val="20"/>
        </w:rPr>
        <w:tab/>
      </w:r>
      <w:hyperlink r:id="rId14" w:history="1">
        <w:r w:rsidRPr="00FF4C43">
          <w:rPr>
            <w:rFonts w:cs="Arial"/>
            <w:noProof/>
            <w:color w:val="0000FF"/>
            <w:szCs w:val="20"/>
          </w:rPr>
          <w:t>jelena.sarenac@henkel.com</w:t>
        </w:r>
      </w:hyperlink>
      <w:r w:rsidRPr="00FF4C43">
        <w:rPr>
          <w:rFonts w:cs="Arial"/>
          <w:noProof/>
          <w:szCs w:val="20"/>
        </w:rPr>
        <w:tab/>
      </w:r>
      <w:hyperlink r:id="rId15" w:history="1">
        <w:r w:rsidRPr="00FF4C43">
          <w:rPr>
            <w:rFonts w:cs="Arial"/>
            <w:noProof/>
            <w:color w:val="0000FF"/>
            <w:szCs w:val="20"/>
          </w:rPr>
          <w:t>jelena.stojanovic@henkel.com</w:t>
        </w:r>
      </w:hyperlink>
    </w:p>
    <w:p w14:paraId="78EC3BB9" w14:textId="77777777" w:rsidR="00CA6D64" w:rsidRPr="00FF4C43" w:rsidRDefault="00CA6D64" w:rsidP="00CA6D64">
      <w:pPr>
        <w:spacing w:line="276" w:lineRule="auto"/>
        <w:jc w:val="both"/>
        <w:rPr>
          <w:rFonts w:cs="Arial"/>
          <w:sz w:val="22"/>
          <w:szCs w:val="22"/>
        </w:rPr>
      </w:pPr>
    </w:p>
    <w:p w14:paraId="0A1A6C11" w14:textId="77777777" w:rsidR="00CA6D64" w:rsidRPr="00F0171A" w:rsidRDefault="00CA6D64" w:rsidP="005E76CA">
      <w:pPr>
        <w:spacing w:line="276" w:lineRule="auto"/>
        <w:jc w:val="both"/>
        <w:rPr>
          <w:rFonts w:cs="Arial"/>
          <w:szCs w:val="22"/>
        </w:rPr>
      </w:pPr>
    </w:p>
    <w:p w14:paraId="3B8D43A6" w14:textId="77777777" w:rsidR="00BA43FA" w:rsidRPr="007C681C" w:rsidRDefault="00BA43FA" w:rsidP="00BA43FA">
      <w:pPr>
        <w:rPr>
          <w:rFonts w:cs="Arial"/>
          <w:szCs w:val="22"/>
        </w:rPr>
      </w:pPr>
    </w:p>
    <w:sectPr w:rsidR="00BA43FA" w:rsidRPr="007C681C" w:rsidSect="00A66DB1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3D845" w14:textId="77777777" w:rsidR="001F2F64" w:rsidRDefault="001F2F64">
      <w:r>
        <w:separator/>
      </w:r>
    </w:p>
  </w:endnote>
  <w:endnote w:type="continuationSeparator" w:id="0">
    <w:p w14:paraId="3DA9AB97" w14:textId="77777777" w:rsidR="001F2F64" w:rsidRDefault="001F2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65617" w14:textId="3034FC93" w:rsidR="00CF6F33" w:rsidRPr="00BF6E82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</w:rPr>
      <w:t>Henkel AG &amp; Co. KGaA</w:t>
    </w:r>
    <w:r>
      <w:rPr>
        <w:color w:val="auto"/>
      </w:rPr>
      <w:tab/>
    </w:r>
    <w:r>
      <w:rPr>
        <w:b w:val="0"/>
        <w:color w:val="auto"/>
      </w:rPr>
      <w:t xml:space="preserve">Strana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Pr="00BF6E82">
      <w:rPr>
        <w:b w:val="0"/>
        <w:color w:val="auto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617F1C">
      <w:rPr>
        <w:b w:val="0"/>
        <w:noProof/>
        <w:color w:val="auto"/>
      </w:rPr>
      <w:t>2</w:t>
    </w:r>
    <w:r w:rsidRPr="00BF6E82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Pr="00BF6E82">
      <w:rPr>
        <w:b w:val="0"/>
        <w:color w:val="auto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617F1C">
      <w:rPr>
        <w:b w:val="0"/>
        <w:noProof/>
        <w:color w:val="auto"/>
      </w:rPr>
      <w:t>3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005FA" w14:textId="77777777" w:rsidR="007D0EEF" w:rsidRPr="007D0EEF" w:rsidRDefault="007D0EEF" w:rsidP="007D0EEF">
    <w:pPr>
      <w:tabs>
        <w:tab w:val="right" w:pos="7083"/>
        <w:tab w:val="right" w:pos="8640"/>
      </w:tabs>
      <w:spacing w:line="180" w:lineRule="atLeast"/>
      <w:jc w:val="both"/>
      <w:rPr>
        <w:b/>
        <w:noProof/>
        <w:color w:val="E1000F"/>
        <w:sz w:val="14"/>
      </w:rPr>
    </w:pPr>
    <w:bookmarkStart w:id="2" w:name="_Hlk505758583"/>
    <w:r>
      <w:rPr>
        <w:b/>
        <w:color w:val="E1000F"/>
        <w:sz w:val="14"/>
      </w:rPr>
      <w:t xml:space="preserve"> </w:t>
    </w:r>
    <w:r>
      <w:rPr>
        <w:noProof/>
        <w:lang w:val="x-none" w:eastAsia="x-none"/>
      </w:rPr>
      <w:drawing>
        <wp:inline distT="0" distB="0" distL="0" distR="0" wp14:anchorId="3854D107" wp14:editId="28E3CAFE">
          <wp:extent cx="586740" cy="109220"/>
          <wp:effectExtent l="0" t="0" r="3810" b="5080"/>
          <wp:docPr id="36" name="Grafik 36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E1000F"/>
        <w:sz w:val="14"/>
      </w:rPr>
      <w:t xml:space="preserve">     </w:t>
    </w:r>
    <w:r>
      <w:rPr>
        <w:noProof/>
        <w:lang w:val="x-none" w:eastAsia="x-none"/>
      </w:rPr>
      <w:drawing>
        <wp:inline distT="0" distB="0" distL="0" distR="0" wp14:anchorId="45EF36C2" wp14:editId="05148B12">
          <wp:extent cx="996315" cy="109220"/>
          <wp:effectExtent l="0" t="0" r="0" b="5080"/>
          <wp:docPr id="35" name="Grafik 35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E1000F"/>
        <w:sz w:val="14"/>
      </w:rPr>
      <w:t xml:space="preserve">  </w:t>
    </w:r>
    <w:r>
      <w:rPr>
        <w:i/>
        <w:noProof/>
        <w:lang w:val="x-none" w:eastAsia="x-none"/>
      </w:rPr>
      <w:drawing>
        <wp:inline distT="0" distB="0" distL="0" distR="0" wp14:anchorId="0027D5CF" wp14:editId="13421662">
          <wp:extent cx="764540" cy="109220"/>
          <wp:effectExtent l="0" t="0" r="0" b="5080"/>
          <wp:docPr id="34" name="Grafik 34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E1000F"/>
        <w:sz w:val="14"/>
      </w:rPr>
      <w:t xml:space="preserve">  </w:t>
    </w:r>
    <w:r>
      <w:rPr>
        <w:noProof/>
        <w:lang w:val="x-none" w:eastAsia="x-none"/>
      </w:rPr>
      <w:drawing>
        <wp:inline distT="0" distB="0" distL="0" distR="0" wp14:anchorId="69615936" wp14:editId="56A849E2">
          <wp:extent cx="614045" cy="273050"/>
          <wp:effectExtent l="0" t="0" r="0" b="0"/>
          <wp:docPr id="33" name="Grafik 33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E1000F"/>
        <w:sz w:val="14"/>
      </w:rPr>
      <w:t xml:space="preserve">    </w:t>
    </w:r>
    <w:r>
      <w:rPr>
        <w:noProof/>
        <w:lang w:val="x-none" w:eastAsia="x-none"/>
      </w:rPr>
      <w:drawing>
        <wp:inline distT="0" distB="0" distL="0" distR="0" wp14:anchorId="11274A48" wp14:editId="2B596434">
          <wp:extent cx="354965" cy="273050"/>
          <wp:effectExtent l="0" t="0" r="6985" b="0"/>
          <wp:docPr id="32" name="Grafik 32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E1000F"/>
        <w:sz w:val="14"/>
      </w:rPr>
      <w:t xml:space="preserve">    </w:t>
    </w:r>
    <w:r>
      <w:rPr>
        <w:noProof/>
        <w:lang w:val="x-none" w:eastAsia="x-none"/>
      </w:rPr>
      <w:drawing>
        <wp:inline distT="0" distB="0" distL="0" distR="0" wp14:anchorId="1F65F3A3" wp14:editId="25407867">
          <wp:extent cx="491490" cy="122555"/>
          <wp:effectExtent l="0" t="0" r="3810" b="0"/>
          <wp:docPr id="31" name="Grafik 31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E1000F"/>
        <w:sz w:val="14"/>
      </w:rPr>
      <w:t xml:space="preserve">    </w:t>
    </w:r>
    <w:r>
      <w:rPr>
        <w:noProof/>
        <w:lang w:val="x-none" w:eastAsia="x-none"/>
      </w:rPr>
      <w:drawing>
        <wp:inline distT="0" distB="0" distL="0" distR="0" wp14:anchorId="3557C622" wp14:editId="0358E178">
          <wp:extent cx="422910" cy="149860"/>
          <wp:effectExtent l="0" t="0" r="0" b="2540"/>
          <wp:docPr id="30" name="Grafik 30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E1000F"/>
        <w:sz w:val="14"/>
      </w:rPr>
      <w:t xml:space="preserve">     </w:t>
    </w:r>
    <w:r>
      <w:rPr>
        <w:noProof/>
        <w:lang w:val="x-none" w:eastAsia="x-none"/>
      </w:rPr>
      <w:drawing>
        <wp:inline distT="0" distB="0" distL="0" distR="0" wp14:anchorId="03CE6747" wp14:editId="205CC87D">
          <wp:extent cx="259080" cy="259080"/>
          <wp:effectExtent l="0" t="0" r="7620" b="7620"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E1000F"/>
        <w:sz w:val="14"/>
      </w:rPr>
      <w:t xml:space="preserve">    </w:t>
    </w:r>
    <w:r>
      <w:rPr>
        <w:rFonts w:ascii="Calibri" w:hAnsi="Calibri"/>
        <w:bCs/>
        <w:noProof/>
        <w:sz w:val="40"/>
        <w:szCs w:val="40"/>
        <w:lang w:val="x-none" w:eastAsia="x-none"/>
      </w:rPr>
      <w:drawing>
        <wp:inline distT="0" distB="0" distL="0" distR="0" wp14:anchorId="22843802" wp14:editId="45655AFA">
          <wp:extent cx="340995" cy="149860"/>
          <wp:effectExtent l="0" t="0" r="1905" b="2540"/>
          <wp:docPr id="28" name="Grafik 28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p w14:paraId="447210E0" w14:textId="77777777" w:rsidR="007D0EEF" w:rsidRPr="007D0EEF" w:rsidRDefault="007D0EEF" w:rsidP="007D0EEF">
    <w:pPr>
      <w:tabs>
        <w:tab w:val="right" w:pos="7083"/>
        <w:tab w:val="right" w:pos="8640"/>
      </w:tabs>
      <w:spacing w:line="180" w:lineRule="atLeast"/>
      <w:jc w:val="distribute"/>
      <w:rPr>
        <w:b/>
        <w:noProof/>
        <w:color w:val="E1000F"/>
        <w:sz w:val="14"/>
      </w:rPr>
    </w:pPr>
    <w:r>
      <w:rPr>
        <w:color w:val="E1000F"/>
        <w:sz w:val="14"/>
      </w:rPr>
      <w:t xml:space="preserve"> </w:t>
    </w:r>
    <w:r>
      <w:rPr>
        <w:b/>
        <w:color w:val="E1000F"/>
        <w:sz w:val="14"/>
      </w:rPr>
      <w:t xml:space="preserve">  </w:t>
    </w:r>
    <w:r>
      <w:rPr>
        <w:color w:val="E1000F"/>
        <w:sz w:val="14"/>
      </w:rPr>
      <w:t xml:space="preserve">     </w:t>
    </w:r>
  </w:p>
  <w:p w14:paraId="66FE3F09" w14:textId="69C9E833" w:rsidR="00D9206F" w:rsidRDefault="00D9206F" w:rsidP="007D0EEF">
    <w:pPr>
      <w:pStyle w:val="Footer"/>
      <w:jc w:val="right"/>
      <w:rPr>
        <w:noProof/>
      </w:rPr>
    </w:pPr>
    <w:r>
      <w:rPr>
        <w:b w:val="0"/>
      </w:rPr>
      <w:t xml:space="preserve"> </w:t>
    </w:r>
    <w:r>
      <w:t xml:space="preserve">  </w:t>
    </w:r>
    <w:r>
      <w:rPr>
        <w:b w:val="0"/>
      </w:rPr>
      <w:t xml:space="preserve"> </w:t>
    </w:r>
    <w:r>
      <w:rPr>
        <w:b w:val="0"/>
        <w:color w:val="auto"/>
      </w:rPr>
      <w:t xml:space="preserve">    Strana </w:t>
    </w:r>
    <w:r w:rsidR="007D0EEF" w:rsidRPr="007D0EEF">
      <w:rPr>
        <w:b w:val="0"/>
        <w:color w:val="auto"/>
      </w:rPr>
      <w:fldChar w:fldCharType="begin"/>
    </w:r>
    <w:r w:rsidR="007D0EEF" w:rsidRPr="007D0EEF">
      <w:rPr>
        <w:b w:val="0"/>
        <w:color w:val="auto"/>
      </w:rPr>
      <w:instrText xml:space="preserve"> PAGE  \* Arabic  \* MERGEFORMAT </w:instrText>
    </w:r>
    <w:r w:rsidR="007D0EEF" w:rsidRPr="007D0EEF">
      <w:rPr>
        <w:b w:val="0"/>
        <w:color w:val="auto"/>
      </w:rPr>
      <w:fldChar w:fldCharType="separate"/>
    </w:r>
    <w:r w:rsidR="00617F1C">
      <w:rPr>
        <w:b w:val="0"/>
        <w:noProof/>
        <w:color w:val="auto"/>
      </w:rPr>
      <w:t>1</w:t>
    </w:r>
    <w:r w:rsidR="007D0EEF" w:rsidRPr="007D0EEF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="007D0EEF" w:rsidRPr="007D0EEF">
      <w:rPr>
        <w:b w:val="0"/>
        <w:color w:val="auto"/>
      </w:rPr>
      <w:fldChar w:fldCharType="begin"/>
    </w:r>
    <w:r w:rsidR="007D0EEF" w:rsidRPr="007D0EEF">
      <w:rPr>
        <w:b w:val="0"/>
        <w:color w:val="auto"/>
      </w:rPr>
      <w:instrText xml:space="preserve"> NUMPAGES  \* Arabic  \* MERGEFORMAT </w:instrText>
    </w:r>
    <w:r w:rsidR="007D0EEF" w:rsidRPr="007D0EEF">
      <w:rPr>
        <w:b w:val="0"/>
        <w:color w:val="auto"/>
      </w:rPr>
      <w:fldChar w:fldCharType="separate"/>
    </w:r>
    <w:r w:rsidR="00617F1C">
      <w:rPr>
        <w:b w:val="0"/>
        <w:noProof/>
        <w:color w:val="auto"/>
      </w:rPr>
      <w:t>3</w:t>
    </w:r>
    <w:r w:rsidR="007D0EEF" w:rsidRPr="007D0EEF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6332A" w14:textId="77777777" w:rsidR="001F2F64" w:rsidRDefault="001F2F64">
      <w:r>
        <w:separator/>
      </w:r>
    </w:p>
  </w:footnote>
  <w:footnote w:type="continuationSeparator" w:id="0">
    <w:p w14:paraId="481DE774" w14:textId="77777777" w:rsidR="001F2F64" w:rsidRDefault="001F2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8E214" w14:textId="77777777" w:rsidR="00CF6F33" w:rsidRDefault="009D643C" w:rsidP="00D260A2">
    <w:pPr>
      <w:pStyle w:val="Header"/>
      <w:jc w:val="right"/>
    </w:pPr>
    <w:r>
      <w:rPr>
        <w:noProof/>
        <w:lang w:val="x-none" w:eastAsia="x-non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1F05605" wp14:editId="7C20AF6A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group w14:anchorId="6D1CDE12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F632F" w14:textId="77777777" w:rsidR="009A16EC" w:rsidRPr="001C4BE1" w:rsidRDefault="009D643C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x-none" w:eastAsia="x-none"/>
      </w:rPr>
      <w:drawing>
        <wp:anchor distT="0" distB="0" distL="114300" distR="114300" simplePos="0" relativeHeight="251658752" behindDoc="0" locked="0" layoutInCell="1" allowOverlap="1" wp14:anchorId="0CF67F28" wp14:editId="6778DF7F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26" name="Bild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bCs/>
        <w:sz w:val="40"/>
        <w:szCs w:val="40"/>
      </w:rPr>
      <w:tab/>
    </w:r>
  </w:p>
  <w:p w14:paraId="449CCAE8" w14:textId="77777777" w:rsidR="009A16EC" w:rsidRPr="001C4BE1" w:rsidRDefault="009A16EC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4E20EF09" w14:textId="77777777" w:rsidR="009767C7" w:rsidRPr="001C4BE1" w:rsidRDefault="009767C7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607F146B" w14:textId="77777777" w:rsidR="00CF6F33" w:rsidRPr="00B422EC" w:rsidRDefault="009D643C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b/>
        <w:bCs/>
        <w:noProof/>
        <w:color w:val="3E3C3C"/>
        <w:sz w:val="40"/>
        <w:szCs w:val="40"/>
        <w:lang w:val="x-none" w:eastAsia="x-none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322ED4B" wp14:editId="0DF62E2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group w14:anchorId="44623BD7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>
      <w:rPr>
        <w:b/>
        <w:bCs/>
        <w:color w:val="3E3C3C"/>
        <w:sz w:val="40"/>
        <w:szCs w:val="40"/>
      </w:rPr>
      <w:t>Saopštenje za medije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F2A"/>
    <w:multiLevelType w:val="hybridMultilevel"/>
    <w:tmpl w:val="D070D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99A"/>
    <w:rsid w:val="00002AA4"/>
    <w:rsid w:val="00005267"/>
    <w:rsid w:val="00005D8F"/>
    <w:rsid w:val="00006346"/>
    <w:rsid w:val="00021C67"/>
    <w:rsid w:val="00026A0C"/>
    <w:rsid w:val="00030557"/>
    <w:rsid w:val="00030F51"/>
    <w:rsid w:val="00032725"/>
    <w:rsid w:val="000575F9"/>
    <w:rsid w:val="000618FC"/>
    <w:rsid w:val="0007511C"/>
    <w:rsid w:val="00080D10"/>
    <w:rsid w:val="00091BB8"/>
    <w:rsid w:val="000931E6"/>
    <w:rsid w:val="00097BA8"/>
    <w:rsid w:val="000A13CE"/>
    <w:rsid w:val="000B3079"/>
    <w:rsid w:val="000C56DD"/>
    <w:rsid w:val="000D1672"/>
    <w:rsid w:val="000E38ED"/>
    <w:rsid w:val="000E7F24"/>
    <w:rsid w:val="000F03BE"/>
    <w:rsid w:val="000F225B"/>
    <w:rsid w:val="000F7FAF"/>
    <w:rsid w:val="00111F4D"/>
    <w:rsid w:val="00115230"/>
    <w:rsid w:val="001162B4"/>
    <w:rsid w:val="00122CBC"/>
    <w:rsid w:val="00126D4A"/>
    <w:rsid w:val="00132DA9"/>
    <w:rsid w:val="0013305B"/>
    <w:rsid w:val="00133B99"/>
    <w:rsid w:val="001418D6"/>
    <w:rsid w:val="00142A92"/>
    <w:rsid w:val="001443BD"/>
    <w:rsid w:val="001562B7"/>
    <w:rsid w:val="00163F14"/>
    <w:rsid w:val="001711F0"/>
    <w:rsid w:val="00191AB1"/>
    <w:rsid w:val="001C0B32"/>
    <w:rsid w:val="001C4A37"/>
    <w:rsid w:val="001C4BE1"/>
    <w:rsid w:val="001E0F71"/>
    <w:rsid w:val="001E6D05"/>
    <w:rsid w:val="001E7C28"/>
    <w:rsid w:val="001F1BDF"/>
    <w:rsid w:val="001F2F64"/>
    <w:rsid w:val="001F7110"/>
    <w:rsid w:val="001F7D06"/>
    <w:rsid w:val="001F7E96"/>
    <w:rsid w:val="00212488"/>
    <w:rsid w:val="00220628"/>
    <w:rsid w:val="00227233"/>
    <w:rsid w:val="002304D2"/>
    <w:rsid w:val="00237F62"/>
    <w:rsid w:val="0024586A"/>
    <w:rsid w:val="00256F0C"/>
    <w:rsid w:val="00257ADB"/>
    <w:rsid w:val="00262C05"/>
    <w:rsid w:val="00273EB2"/>
    <w:rsid w:val="002A0DF7"/>
    <w:rsid w:val="002A60E0"/>
    <w:rsid w:val="002C252E"/>
    <w:rsid w:val="002C6773"/>
    <w:rsid w:val="002D2A3D"/>
    <w:rsid w:val="002E0B17"/>
    <w:rsid w:val="002E4440"/>
    <w:rsid w:val="002E7DED"/>
    <w:rsid w:val="002F7E11"/>
    <w:rsid w:val="00304087"/>
    <w:rsid w:val="00310ACD"/>
    <w:rsid w:val="0031379F"/>
    <w:rsid w:val="00320A26"/>
    <w:rsid w:val="003212D3"/>
    <w:rsid w:val="00321344"/>
    <w:rsid w:val="00337CF4"/>
    <w:rsid w:val="0034015C"/>
    <w:rsid w:val="00342E50"/>
    <w:rsid w:val="003442F4"/>
    <w:rsid w:val="00344D11"/>
    <w:rsid w:val="003502D6"/>
    <w:rsid w:val="00353705"/>
    <w:rsid w:val="003562E8"/>
    <w:rsid w:val="003623D4"/>
    <w:rsid w:val="0036357D"/>
    <w:rsid w:val="00367AA1"/>
    <w:rsid w:val="00372E36"/>
    <w:rsid w:val="00376EE9"/>
    <w:rsid w:val="00377A60"/>
    <w:rsid w:val="00377CBB"/>
    <w:rsid w:val="003877B6"/>
    <w:rsid w:val="00392F56"/>
    <w:rsid w:val="00393887"/>
    <w:rsid w:val="00394C6B"/>
    <w:rsid w:val="003B1069"/>
    <w:rsid w:val="003B390A"/>
    <w:rsid w:val="003B571E"/>
    <w:rsid w:val="003B6470"/>
    <w:rsid w:val="003C15DE"/>
    <w:rsid w:val="003C4EB2"/>
    <w:rsid w:val="003D0215"/>
    <w:rsid w:val="003D55D7"/>
    <w:rsid w:val="003E1BBD"/>
    <w:rsid w:val="003E51A7"/>
    <w:rsid w:val="003E68F0"/>
    <w:rsid w:val="003F1AF3"/>
    <w:rsid w:val="003F4D8D"/>
    <w:rsid w:val="003F4F01"/>
    <w:rsid w:val="00404BE1"/>
    <w:rsid w:val="004313E7"/>
    <w:rsid w:val="0044763B"/>
    <w:rsid w:val="004629B3"/>
    <w:rsid w:val="0046376E"/>
    <w:rsid w:val="0046690F"/>
    <w:rsid w:val="00490A03"/>
    <w:rsid w:val="00494DBE"/>
    <w:rsid w:val="00495CE6"/>
    <w:rsid w:val="004A323C"/>
    <w:rsid w:val="004A5D8D"/>
    <w:rsid w:val="004B54E8"/>
    <w:rsid w:val="004C4FEB"/>
    <w:rsid w:val="004D059B"/>
    <w:rsid w:val="004D4CB6"/>
    <w:rsid w:val="004D7D85"/>
    <w:rsid w:val="004F10C1"/>
    <w:rsid w:val="00502E62"/>
    <w:rsid w:val="005129FC"/>
    <w:rsid w:val="0052212B"/>
    <w:rsid w:val="00530C24"/>
    <w:rsid w:val="00533788"/>
    <w:rsid w:val="00534B46"/>
    <w:rsid w:val="00540358"/>
    <w:rsid w:val="00556F67"/>
    <w:rsid w:val="0058152F"/>
    <w:rsid w:val="0058398B"/>
    <w:rsid w:val="00586CAF"/>
    <w:rsid w:val="00591180"/>
    <w:rsid w:val="00597D07"/>
    <w:rsid w:val="005A6F5F"/>
    <w:rsid w:val="005B04A4"/>
    <w:rsid w:val="005B6A58"/>
    <w:rsid w:val="005C411A"/>
    <w:rsid w:val="005C7112"/>
    <w:rsid w:val="005D0561"/>
    <w:rsid w:val="005D0AD9"/>
    <w:rsid w:val="005D22F6"/>
    <w:rsid w:val="005D3D51"/>
    <w:rsid w:val="005E0C30"/>
    <w:rsid w:val="005E3A26"/>
    <w:rsid w:val="005E69D9"/>
    <w:rsid w:val="005E76CA"/>
    <w:rsid w:val="005F27F4"/>
    <w:rsid w:val="005F2833"/>
    <w:rsid w:val="005F3239"/>
    <w:rsid w:val="00607256"/>
    <w:rsid w:val="006144B1"/>
    <w:rsid w:val="00617F1C"/>
    <w:rsid w:val="00625BF8"/>
    <w:rsid w:val="006335F1"/>
    <w:rsid w:val="00633B27"/>
    <w:rsid w:val="006345B6"/>
    <w:rsid w:val="00635712"/>
    <w:rsid w:val="00652229"/>
    <w:rsid w:val="00652793"/>
    <w:rsid w:val="006626CA"/>
    <w:rsid w:val="00663487"/>
    <w:rsid w:val="006648E0"/>
    <w:rsid w:val="00672382"/>
    <w:rsid w:val="006753CF"/>
    <w:rsid w:val="00680678"/>
    <w:rsid w:val="00682EB9"/>
    <w:rsid w:val="00690B19"/>
    <w:rsid w:val="006A0A3C"/>
    <w:rsid w:val="006A79F0"/>
    <w:rsid w:val="006B499F"/>
    <w:rsid w:val="006B752B"/>
    <w:rsid w:val="006C45D9"/>
    <w:rsid w:val="006D4996"/>
    <w:rsid w:val="006D54AB"/>
    <w:rsid w:val="006E3006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1132"/>
    <w:rsid w:val="00742398"/>
    <w:rsid w:val="00746048"/>
    <w:rsid w:val="007507B5"/>
    <w:rsid w:val="00753A24"/>
    <w:rsid w:val="007546DD"/>
    <w:rsid w:val="00760CE9"/>
    <w:rsid w:val="00772188"/>
    <w:rsid w:val="007843ED"/>
    <w:rsid w:val="00786BA3"/>
    <w:rsid w:val="007A4432"/>
    <w:rsid w:val="007A784E"/>
    <w:rsid w:val="007B499C"/>
    <w:rsid w:val="007B4D4B"/>
    <w:rsid w:val="007C4288"/>
    <w:rsid w:val="007C681C"/>
    <w:rsid w:val="007D0EEF"/>
    <w:rsid w:val="007D2A02"/>
    <w:rsid w:val="007D4874"/>
    <w:rsid w:val="007E6EA1"/>
    <w:rsid w:val="007F2B1E"/>
    <w:rsid w:val="007F62B4"/>
    <w:rsid w:val="00801517"/>
    <w:rsid w:val="00817AE8"/>
    <w:rsid w:val="00817DE8"/>
    <w:rsid w:val="008229F5"/>
    <w:rsid w:val="0082699A"/>
    <w:rsid w:val="00833CEB"/>
    <w:rsid w:val="008372D2"/>
    <w:rsid w:val="00844C17"/>
    <w:rsid w:val="00847726"/>
    <w:rsid w:val="00851DD2"/>
    <w:rsid w:val="00852511"/>
    <w:rsid w:val="00854F9C"/>
    <w:rsid w:val="0086033A"/>
    <w:rsid w:val="008614F1"/>
    <w:rsid w:val="008639B3"/>
    <w:rsid w:val="00863C1A"/>
    <w:rsid w:val="0087142D"/>
    <w:rsid w:val="00873956"/>
    <w:rsid w:val="008825EE"/>
    <w:rsid w:val="0088596E"/>
    <w:rsid w:val="008A2375"/>
    <w:rsid w:val="008A3137"/>
    <w:rsid w:val="008B0849"/>
    <w:rsid w:val="008D1453"/>
    <w:rsid w:val="008D76C5"/>
    <w:rsid w:val="008E0AFA"/>
    <w:rsid w:val="008E1E96"/>
    <w:rsid w:val="008E75D3"/>
    <w:rsid w:val="008F125E"/>
    <w:rsid w:val="008F4D2F"/>
    <w:rsid w:val="009129A2"/>
    <w:rsid w:val="00917162"/>
    <w:rsid w:val="009251CC"/>
    <w:rsid w:val="0092714E"/>
    <w:rsid w:val="00942002"/>
    <w:rsid w:val="00947885"/>
    <w:rsid w:val="00952168"/>
    <w:rsid w:val="009527FE"/>
    <w:rsid w:val="00957428"/>
    <w:rsid w:val="009739A0"/>
    <w:rsid w:val="009767C7"/>
    <w:rsid w:val="0097693C"/>
    <w:rsid w:val="0098579A"/>
    <w:rsid w:val="0099195A"/>
    <w:rsid w:val="00994681"/>
    <w:rsid w:val="0099486A"/>
    <w:rsid w:val="009965FC"/>
    <w:rsid w:val="009A0E26"/>
    <w:rsid w:val="009A16EC"/>
    <w:rsid w:val="009B0F38"/>
    <w:rsid w:val="009B3B37"/>
    <w:rsid w:val="009C088E"/>
    <w:rsid w:val="009C4D35"/>
    <w:rsid w:val="009D643C"/>
    <w:rsid w:val="009E0403"/>
    <w:rsid w:val="009E5EB4"/>
    <w:rsid w:val="00A044D6"/>
    <w:rsid w:val="00A04ADB"/>
    <w:rsid w:val="00A11E0F"/>
    <w:rsid w:val="00A26CB6"/>
    <w:rsid w:val="00A32F82"/>
    <w:rsid w:val="00A32F8B"/>
    <w:rsid w:val="00A45A62"/>
    <w:rsid w:val="00A46826"/>
    <w:rsid w:val="00A50EA8"/>
    <w:rsid w:val="00A54AC5"/>
    <w:rsid w:val="00A56D41"/>
    <w:rsid w:val="00A61353"/>
    <w:rsid w:val="00A64CE4"/>
    <w:rsid w:val="00A66925"/>
    <w:rsid w:val="00A66DB1"/>
    <w:rsid w:val="00A67A92"/>
    <w:rsid w:val="00A73CCC"/>
    <w:rsid w:val="00A740C9"/>
    <w:rsid w:val="00A908BB"/>
    <w:rsid w:val="00A91A70"/>
    <w:rsid w:val="00AA1B85"/>
    <w:rsid w:val="00AB1CB6"/>
    <w:rsid w:val="00AB1D9A"/>
    <w:rsid w:val="00AD44FE"/>
    <w:rsid w:val="00AD5BB7"/>
    <w:rsid w:val="00AD6CB9"/>
    <w:rsid w:val="00AE49F1"/>
    <w:rsid w:val="00B0168E"/>
    <w:rsid w:val="00B05CCA"/>
    <w:rsid w:val="00B14271"/>
    <w:rsid w:val="00B2685D"/>
    <w:rsid w:val="00B30351"/>
    <w:rsid w:val="00B33C2A"/>
    <w:rsid w:val="00B36394"/>
    <w:rsid w:val="00B422EC"/>
    <w:rsid w:val="00B71ACD"/>
    <w:rsid w:val="00B726D4"/>
    <w:rsid w:val="00B86A4F"/>
    <w:rsid w:val="00B958E8"/>
    <w:rsid w:val="00BA09B2"/>
    <w:rsid w:val="00BA43FA"/>
    <w:rsid w:val="00BB7156"/>
    <w:rsid w:val="00BC0995"/>
    <w:rsid w:val="00BE1E91"/>
    <w:rsid w:val="00BE793A"/>
    <w:rsid w:val="00BF1B0D"/>
    <w:rsid w:val="00BF432A"/>
    <w:rsid w:val="00BF6E82"/>
    <w:rsid w:val="00C24C17"/>
    <w:rsid w:val="00C40B88"/>
    <w:rsid w:val="00C414E6"/>
    <w:rsid w:val="00C43E1A"/>
    <w:rsid w:val="00C47D87"/>
    <w:rsid w:val="00C52F7F"/>
    <w:rsid w:val="00C5376E"/>
    <w:rsid w:val="00C811FA"/>
    <w:rsid w:val="00C97091"/>
    <w:rsid w:val="00CA2001"/>
    <w:rsid w:val="00CA6D64"/>
    <w:rsid w:val="00CB5B6C"/>
    <w:rsid w:val="00CD16BE"/>
    <w:rsid w:val="00CD4616"/>
    <w:rsid w:val="00CE1656"/>
    <w:rsid w:val="00CE33D5"/>
    <w:rsid w:val="00CF5D37"/>
    <w:rsid w:val="00CF5F87"/>
    <w:rsid w:val="00CF6F33"/>
    <w:rsid w:val="00D02248"/>
    <w:rsid w:val="00D063B8"/>
    <w:rsid w:val="00D06825"/>
    <w:rsid w:val="00D17E3B"/>
    <w:rsid w:val="00D221AA"/>
    <w:rsid w:val="00D23C09"/>
    <w:rsid w:val="00D23CED"/>
    <w:rsid w:val="00D24BD2"/>
    <w:rsid w:val="00D260A2"/>
    <w:rsid w:val="00D30CC6"/>
    <w:rsid w:val="00D3260C"/>
    <w:rsid w:val="00D33548"/>
    <w:rsid w:val="00D35790"/>
    <w:rsid w:val="00D56DFE"/>
    <w:rsid w:val="00D62EF1"/>
    <w:rsid w:val="00D6309D"/>
    <w:rsid w:val="00D644CA"/>
    <w:rsid w:val="00D66EE0"/>
    <w:rsid w:val="00D66FC2"/>
    <w:rsid w:val="00D76C7E"/>
    <w:rsid w:val="00D8651F"/>
    <w:rsid w:val="00D9206F"/>
    <w:rsid w:val="00D9293F"/>
    <w:rsid w:val="00D93598"/>
    <w:rsid w:val="00DA1E18"/>
    <w:rsid w:val="00DA2009"/>
    <w:rsid w:val="00DB05B1"/>
    <w:rsid w:val="00DB3542"/>
    <w:rsid w:val="00DC2A8F"/>
    <w:rsid w:val="00DD512E"/>
    <w:rsid w:val="00DE1177"/>
    <w:rsid w:val="00DE2CEA"/>
    <w:rsid w:val="00DE6A3C"/>
    <w:rsid w:val="00DE7F97"/>
    <w:rsid w:val="00DF1010"/>
    <w:rsid w:val="00DF3605"/>
    <w:rsid w:val="00DF5AEA"/>
    <w:rsid w:val="00DF63F6"/>
    <w:rsid w:val="00E113D5"/>
    <w:rsid w:val="00E13747"/>
    <w:rsid w:val="00E224F9"/>
    <w:rsid w:val="00E25AEA"/>
    <w:rsid w:val="00E30DEF"/>
    <w:rsid w:val="00E30ED2"/>
    <w:rsid w:val="00E31276"/>
    <w:rsid w:val="00E37F70"/>
    <w:rsid w:val="00E446C1"/>
    <w:rsid w:val="00E478F9"/>
    <w:rsid w:val="00E6321F"/>
    <w:rsid w:val="00E6711E"/>
    <w:rsid w:val="00E758B9"/>
    <w:rsid w:val="00E85569"/>
    <w:rsid w:val="00E856AF"/>
    <w:rsid w:val="00E93A01"/>
    <w:rsid w:val="00E93FF8"/>
    <w:rsid w:val="00E96EAF"/>
    <w:rsid w:val="00EA1752"/>
    <w:rsid w:val="00EA5BDB"/>
    <w:rsid w:val="00EC142D"/>
    <w:rsid w:val="00EC1E16"/>
    <w:rsid w:val="00ED027C"/>
    <w:rsid w:val="00ED2B5C"/>
    <w:rsid w:val="00ED3269"/>
    <w:rsid w:val="00EF15C0"/>
    <w:rsid w:val="00EF15FF"/>
    <w:rsid w:val="00EF7111"/>
    <w:rsid w:val="00EF7D1A"/>
    <w:rsid w:val="00F0171A"/>
    <w:rsid w:val="00F0448F"/>
    <w:rsid w:val="00F1308B"/>
    <w:rsid w:val="00F270E9"/>
    <w:rsid w:val="00F275C0"/>
    <w:rsid w:val="00F32DCD"/>
    <w:rsid w:val="00F36145"/>
    <w:rsid w:val="00F37BDD"/>
    <w:rsid w:val="00F41503"/>
    <w:rsid w:val="00F466C8"/>
    <w:rsid w:val="00F469A9"/>
    <w:rsid w:val="00F50B46"/>
    <w:rsid w:val="00F50D1F"/>
    <w:rsid w:val="00F54768"/>
    <w:rsid w:val="00F63D03"/>
    <w:rsid w:val="00F65E2F"/>
    <w:rsid w:val="00F67DF1"/>
    <w:rsid w:val="00F71DB3"/>
    <w:rsid w:val="00F72D5D"/>
    <w:rsid w:val="00F8309B"/>
    <w:rsid w:val="00F833C9"/>
    <w:rsid w:val="00F90064"/>
    <w:rsid w:val="00F96AFD"/>
    <w:rsid w:val="00FA1398"/>
    <w:rsid w:val="00FA2E19"/>
    <w:rsid w:val="00FA697F"/>
    <w:rsid w:val="00FB610D"/>
    <w:rsid w:val="00FC704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271478AF"/>
  <w15:chartTrackingRefBased/>
  <w15:docId w15:val="{715C349F-DB5B-4913-82E0-79185A5FC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RS" w:eastAsia="de-DE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sr-Latn-RS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sr-Latn-RS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NoSpacing">
    <w:name w:val="No Spacing"/>
    <w:uiPriority w:val="1"/>
    <w:qFormat/>
    <w:rsid w:val="00C414E6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rsid w:val="00F71DB3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1DB3"/>
    <w:rPr>
      <w:szCs w:val="20"/>
    </w:rPr>
  </w:style>
  <w:style w:type="character" w:customStyle="1" w:styleId="CommentTextChar">
    <w:name w:val="Comment Text Char"/>
    <w:link w:val="CommentText"/>
    <w:rsid w:val="00F71DB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71DB3"/>
    <w:rPr>
      <w:b/>
      <w:bCs/>
    </w:rPr>
  </w:style>
  <w:style w:type="character" w:customStyle="1" w:styleId="CommentSubjectChar">
    <w:name w:val="Comment Subject Char"/>
    <w:link w:val="CommentSubject"/>
    <w:rsid w:val="00F71DB3"/>
    <w:rPr>
      <w:rFonts w:ascii="Arial" w:hAnsi="Arial"/>
      <w:b/>
      <w:bCs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5E76CA"/>
    <w:rPr>
      <w:color w:val="605E5C"/>
      <w:shd w:val="clear" w:color="auto" w:fill="E1DFDD"/>
    </w:rPr>
  </w:style>
  <w:style w:type="paragraph" w:styleId="Revision">
    <w:name w:val="Revision"/>
    <w:hidden/>
    <w:uiPriority w:val="62"/>
    <w:unhideWhenUsed/>
    <w:rsid w:val="005D3D51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nkel.com/press-and-media/press-releases-and-kits/2018-09-03-henkel-announces-ambitious-targets-for-sustainable-packaging/873418" TargetMode="External"/><Relationship Id="rId13" Type="http://schemas.openxmlformats.org/officeDocument/2006/relationships/hyperlink" Target="http://www.henkel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enkel.com/sustainability/positions/packagin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nkel.com/press-and-media/press-releases-and-kits/2018-11-15-one-year-of-successful-partnership-with-plastic-bank-8917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lena.stojanovic@henkel.com" TargetMode="External"/><Relationship Id="rId10" Type="http://schemas.openxmlformats.org/officeDocument/2006/relationships/hyperlink" Target="https://www.henkel.com/press-and-media/press-releases-and-kits/2018-10-29-henkel-signed-commitment-to-drive-progress-toward-a-circular-economy-for-plastic-886096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henkel.com/press-and-media/press-releases-and-kits/2019-01-16-henkel-is-founding-member-of-new-global-alliance-to-end-plastic-waste-901534" TargetMode="External"/><Relationship Id="rId14" Type="http://schemas.openxmlformats.org/officeDocument/2006/relationships/hyperlink" Target="mailto:jelena.sarenac@henkel.com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08D70-6633-4D48-ABA6-2DDCB03A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783</Words>
  <Characters>4468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5241</CharactersWithSpaces>
  <SharedDoc>false</SharedDoc>
  <HLinks>
    <vt:vector size="36" baseType="variant">
      <vt:variant>
        <vt:i4>2490428</vt:i4>
      </vt:variant>
      <vt:variant>
        <vt:i4>15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4259915</vt:i4>
      </vt:variant>
      <vt:variant>
        <vt:i4>12</vt:i4>
      </vt:variant>
      <vt:variant>
        <vt:i4>0</vt:i4>
      </vt:variant>
      <vt:variant>
        <vt:i4>5</vt:i4>
      </vt:variant>
      <vt:variant>
        <vt:lpwstr>http://www.henkel.com/sustainability/positions/packaging</vt:lpwstr>
      </vt:variant>
      <vt:variant>
        <vt:lpwstr/>
      </vt:variant>
      <vt:variant>
        <vt:i4>1704017</vt:i4>
      </vt:variant>
      <vt:variant>
        <vt:i4>9</vt:i4>
      </vt:variant>
      <vt:variant>
        <vt:i4>0</vt:i4>
      </vt:variant>
      <vt:variant>
        <vt:i4>5</vt:i4>
      </vt:variant>
      <vt:variant>
        <vt:lpwstr>https://www.henkel.com/press-and-media/press-releases-and-kits/2018-11-15-one-year-of-successful-partnership-with-plastic-bank-891770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https://www.henkel.com/press-and-media/press-releases-and-kits/2018-10-29-henkel-signed-commitment-to-drive-progress-toward-a-circular-economy-for-plastic-886096</vt:lpwstr>
      </vt:variant>
      <vt:variant>
        <vt:lpwstr/>
      </vt:variant>
      <vt:variant>
        <vt:i4>3670078</vt:i4>
      </vt:variant>
      <vt:variant>
        <vt:i4>3</vt:i4>
      </vt:variant>
      <vt:variant>
        <vt:i4>0</vt:i4>
      </vt:variant>
      <vt:variant>
        <vt:i4>5</vt:i4>
      </vt:variant>
      <vt:variant>
        <vt:lpwstr>https://www.henkel.com/press-and-media/press-releases-and-kits/2019-01-16-henkel-is-founding-member-of-new-global-alliance-to-end-plastic-waste-901534</vt:lpwstr>
      </vt:variant>
      <vt:variant>
        <vt:lpwstr/>
      </vt:variant>
      <vt:variant>
        <vt:i4>262168</vt:i4>
      </vt:variant>
      <vt:variant>
        <vt:i4>0</vt:i4>
      </vt:variant>
      <vt:variant>
        <vt:i4>0</vt:i4>
      </vt:variant>
      <vt:variant>
        <vt:i4>5</vt:i4>
      </vt:variant>
      <vt:variant>
        <vt:lpwstr>https://www.henkel.com/press-and-media/press-releases-and-kits/2018-09-03-henkel-announces-ambitious-targets-for-sustainable-packaging/873418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Sabine Panthel</dc:creator>
  <cp:keywords/>
  <dc:description/>
  <cp:lastModifiedBy>Jelena Stojanovic</cp:lastModifiedBy>
  <cp:revision>7</cp:revision>
  <cp:lastPrinted>2016-11-16T08:11:00Z</cp:lastPrinted>
  <dcterms:created xsi:type="dcterms:W3CDTF">2019-05-28T09:09:00Z</dcterms:created>
  <dcterms:modified xsi:type="dcterms:W3CDTF">2019-07-01T09:22:00Z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000800ba020000000000010270600207f7000400038000</vt:lpwstr>
  </property>
</Properties>
</file>